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7374D09" w14:textId="77777777" w:rsidTr="00A410B6">
        <w:tc>
          <w:tcPr>
            <w:tcW w:w="1401" w:type="dxa"/>
          </w:tcPr>
          <w:p w14:paraId="41D64C2A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534C4D8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706749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3333A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138F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38F82679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4C4865A7" w14:textId="77777777" w:rsidTr="00C93291">
        <w:tc>
          <w:tcPr>
            <w:tcW w:w="3190" w:type="dxa"/>
          </w:tcPr>
          <w:p w14:paraId="22E8BB69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56A819C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1FB2F09" w14:textId="1E482192" w:rsidR="00C93291" w:rsidRDefault="00A410B6" w:rsidP="004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9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0709B6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668D4" w14:textId="6DC336C6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7E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538CFDE7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5F83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7D84A201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57489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372864FF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7F254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065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4B2C69CC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3B7545E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01E3942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82664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DA58BF8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9D59DC">
        <w:rPr>
          <w:rFonts w:ascii="Times New Roman" w:hAnsi="Times New Roman" w:cs="Times New Roman"/>
          <w:sz w:val="24"/>
          <w:szCs w:val="24"/>
        </w:rPr>
        <w:t>Гидрометнаблюдатель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12F77812" w14:textId="1BE2AE63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 </w:t>
      </w:r>
      <w:r w:rsidR="009D59DC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9D59DC">
        <w:rPr>
          <w:rFonts w:ascii="Times New Roman" w:hAnsi="Times New Roman" w:cs="Times New Roman"/>
          <w:sz w:val="24"/>
          <w:szCs w:val="24"/>
        </w:rPr>
        <w:t>ов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3671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7118">
        <w:rPr>
          <w:rFonts w:ascii="Times New Roman" w:hAnsi="Times New Roman" w:cs="Times New Roman"/>
          <w:sz w:val="24"/>
          <w:szCs w:val="24"/>
        </w:rPr>
        <w:t>__________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10B6">
        <w:rPr>
          <w:rFonts w:ascii="Times New Roman" w:hAnsi="Times New Roman" w:cs="Times New Roman"/>
          <w:sz w:val="24"/>
          <w:szCs w:val="24"/>
        </w:rPr>
        <w:t>0</w:t>
      </w:r>
      <w:r w:rsidR="0067417B">
        <w:rPr>
          <w:rFonts w:ascii="Times New Roman" w:hAnsi="Times New Roman" w:cs="Times New Roman"/>
          <w:sz w:val="24"/>
          <w:szCs w:val="24"/>
        </w:rPr>
        <w:t>2</w:t>
      </w:r>
      <w:r w:rsidR="009A663D">
        <w:rPr>
          <w:rFonts w:ascii="Times New Roman" w:hAnsi="Times New Roman" w:cs="Times New Roman"/>
          <w:sz w:val="24"/>
          <w:szCs w:val="24"/>
        </w:rPr>
        <w:t>0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367118">
        <w:rPr>
          <w:rFonts w:ascii="Times New Roman" w:hAnsi="Times New Roman" w:cs="Times New Roman"/>
          <w:sz w:val="24"/>
          <w:szCs w:val="24"/>
        </w:rPr>
        <w:t>____</w:t>
      </w:r>
      <w:r w:rsidR="004A3EA4">
        <w:rPr>
          <w:rFonts w:ascii="Times New Roman" w:hAnsi="Times New Roman" w:cs="Times New Roman"/>
          <w:sz w:val="24"/>
          <w:szCs w:val="24"/>
        </w:rPr>
        <w:t xml:space="preserve">» </w:t>
      </w:r>
      <w:r w:rsidR="00367118">
        <w:rPr>
          <w:rFonts w:ascii="Times New Roman" w:hAnsi="Times New Roman" w:cs="Times New Roman"/>
          <w:sz w:val="24"/>
          <w:szCs w:val="24"/>
        </w:rPr>
        <w:t>_________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67417B">
        <w:rPr>
          <w:rFonts w:ascii="Times New Roman" w:hAnsi="Times New Roman" w:cs="Times New Roman"/>
          <w:sz w:val="24"/>
          <w:szCs w:val="24"/>
        </w:rPr>
        <w:t>2</w:t>
      </w:r>
      <w:r w:rsidR="009A663D">
        <w:rPr>
          <w:rFonts w:ascii="Times New Roman" w:hAnsi="Times New Roman" w:cs="Times New Roman"/>
          <w:sz w:val="24"/>
          <w:szCs w:val="24"/>
        </w:rPr>
        <w:t>0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3AC60F40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B43D361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541114DE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5A6051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C2DCAD5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63CB2B30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0444BA2A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5BA69C0C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21BD5A71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84371F8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4E783DE4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75EB24F9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8F659CB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7DDFABF7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8D5202A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FA16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6B20DF50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6723DEB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6233C63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0D0871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0ADC6BFC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5274D2E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0FC8C51E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243EB67D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14EBA1CB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2EAAAE0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4E4299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01CBC9C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>тникам, инженерно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097C60FA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3A1020F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52D8A582" w14:textId="77777777" w:rsidR="00995C44" w:rsidRP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3878F4">
        <w:rPr>
          <w:rFonts w:ascii="Times New Roman" w:hAnsi="Times New Roman" w:cs="Times New Roman"/>
          <w:sz w:val="24"/>
          <w:szCs w:val="24"/>
        </w:rPr>
        <w:t>12 000 руб. 00 коп.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3878F4">
        <w:rPr>
          <w:rFonts w:ascii="Times New Roman" w:hAnsi="Times New Roman" w:cs="Times New Roman"/>
          <w:sz w:val="24"/>
          <w:szCs w:val="24"/>
        </w:rPr>
        <w:t xml:space="preserve">двенадцать тысяч </w:t>
      </w:r>
      <w:r w:rsidRPr="00995C44">
        <w:rPr>
          <w:rFonts w:ascii="Times New Roman" w:hAnsi="Times New Roman" w:cs="Times New Roman"/>
          <w:sz w:val="24"/>
          <w:szCs w:val="24"/>
        </w:rPr>
        <w:t>рублей 00 копеек)</w:t>
      </w:r>
      <w:r w:rsidR="004A68B7" w:rsidRPr="00995C44">
        <w:rPr>
          <w:rFonts w:ascii="Times New Roman" w:hAnsi="Times New Roman" w:cs="Times New Roman"/>
          <w:sz w:val="24"/>
          <w:szCs w:val="24"/>
        </w:rPr>
        <w:t>.</w:t>
      </w:r>
      <w:r w:rsidRPr="00995C44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C523E92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A3758C7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1855C028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2CB98DA8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657C38AD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69972C19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783A075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3FAF9F7E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F866955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283C36F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43ED6632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05766329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29C6CAF4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A64A8D0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12AD19EB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15C8047F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3561317D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6CB44879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5B4D2F69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3B20A6E3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6EAF20D6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F8BB1CB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3D30A2EC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DE6F9F9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108ECF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234394B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72ADBBBF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0E088B38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78D1AE7E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1F201F19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2E55B75C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967FD85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15759A88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5BB60442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0CE424C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3D25426" w14:textId="77777777" w:rsidR="0007457D" w:rsidRDefault="0007457D">
      <w:pPr>
        <w:rPr>
          <w:rFonts w:ascii="Times New Roman" w:hAnsi="Times New Roman" w:cs="Times New Roman"/>
          <w:b/>
          <w:sz w:val="24"/>
          <w:szCs w:val="24"/>
        </w:rPr>
      </w:pPr>
    </w:p>
    <w:p w14:paraId="26F2F712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"/>
        <w:gridCol w:w="4111"/>
      </w:tblGrid>
      <w:tr w:rsidR="00CA02C5" w:rsidRPr="00443D5B" w14:paraId="791B865F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D2908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BFA4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5DAF50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2FE394A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EE373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686CD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12491E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400E23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894B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9DF93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D6F5AF3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7C3873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210F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1E98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FE8244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5177C5C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6116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769BD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F4692B9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23C7122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C60C0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89BB0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189852E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5372DB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1015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E55C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DDCA87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39B14F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20C6A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03222A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2426F37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190931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71BA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DD41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42EC6E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F48342A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80D1" w14:textId="77777777" w:rsidR="00B420A0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516887A6" w14:textId="77777777" w:rsidR="00B420A0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3228D9B6" w14:textId="77777777" w:rsidR="00B420A0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FA93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5F7DC2FA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80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03DFEB9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F678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6FC521AC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78A9B9A5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2243DA04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200F94A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10C6DCA2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380AE00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1441810E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3000AA03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24870A36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6B9F7A47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6022ECA1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6DCB9A0" w14:textId="77777777" w:rsidR="00CA02C5" w:rsidRDefault="00CA02C5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CA007F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C81EC0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B00C6F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F98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1F0A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CBA1D3F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3EA1FAD2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EAE3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CECA8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C3B6BC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37A92F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022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CC1B0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F3586A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980CD6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5353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B697CF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8EA8F1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31C6E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4FD6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89299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90E286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2BF5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3AC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875928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07444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4AD6392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B5C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1D4E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A51AFE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478FE67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AD61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D4438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42EEEE6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426B3D6F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29D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74148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944E0A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255C8B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0B234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61376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89835D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483A25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16E3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D2EA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324C41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95005F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894F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769C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85112E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8D3949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26000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29B678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749E498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40F2174B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8BBAD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4AC9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19F224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9C8F3B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45F8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80A7B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3AFC94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682CE47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A92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4EA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737E61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9335B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0766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B039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4059E3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213434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16F60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A75F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8AB5DA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1E08BF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23C6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4DD2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1F57D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8DD027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6712DF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4BC41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CAD7C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532458F0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7754F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0357A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80C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2E16B52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74D8C3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AC880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C6B69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5B6DDC15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F00E8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28F24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A9F6C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0F8A8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701581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F5D2DA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7C05E49B" w14:textId="77777777" w:rsidTr="00DA7927">
        <w:tc>
          <w:tcPr>
            <w:tcW w:w="9571" w:type="dxa"/>
          </w:tcPr>
          <w:p w14:paraId="29A6B8A2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65DC259" w14:textId="77777777" w:rsidTr="00DA7927">
        <w:tc>
          <w:tcPr>
            <w:tcW w:w="9571" w:type="dxa"/>
          </w:tcPr>
          <w:p w14:paraId="092012A3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2E77A24D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3E9A2875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0EEB18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C0FB15A" w14:textId="77777777" w:rsidTr="00DA7927">
        <w:tc>
          <w:tcPr>
            <w:tcW w:w="9571" w:type="dxa"/>
          </w:tcPr>
          <w:p w14:paraId="15F5A6E1" w14:textId="20A7ECE4" w:rsidR="00FC5B16" w:rsidRDefault="00DA7927" w:rsidP="004A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</w:tbl>
    <w:p w14:paraId="5113723B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2589" w14:textId="77777777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32F3" w14:textId="77777777" w:rsidR="008C0072" w:rsidRDefault="008C0072" w:rsidP="009047D5">
      <w:pPr>
        <w:spacing w:after="0" w:line="240" w:lineRule="auto"/>
      </w:pPr>
      <w:r>
        <w:separator/>
      </w:r>
    </w:p>
  </w:endnote>
  <w:endnote w:type="continuationSeparator" w:id="0">
    <w:p w14:paraId="50DA0210" w14:textId="77777777" w:rsidR="008C0072" w:rsidRDefault="008C0072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D5B9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1A84F4A6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283C" w14:textId="77777777" w:rsidR="008C0072" w:rsidRDefault="008C0072" w:rsidP="009047D5">
      <w:pPr>
        <w:spacing w:after="0" w:line="240" w:lineRule="auto"/>
      </w:pPr>
      <w:r>
        <w:separator/>
      </w:r>
    </w:p>
  </w:footnote>
  <w:footnote w:type="continuationSeparator" w:id="0">
    <w:p w14:paraId="016AD287" w14:textId="77777777" w:rsidR="008C0072" w:rsidRDefault="008C0072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102"/>
    <w:rsid w:val="00025DEE"/>
    <w:rsid w:val="000277D9"/>
    <w:rsid w:val="000428FA"/>
    <w:rsid w:val="00044200"/>
    <w:rsid w:val="00050B95"/>
    <w:rsid w:val="000524DF"/>
    <w:rsid w:val="00063503"/>
    <w:rsid w:val="00065547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607E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25B39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1F9E"/>
    <w:rsid w:val="002B24B7"/>
    <w:rsid w:val="002B5F01"/>
    <w:rsid w:val="002D33CF"/>
    <w:rsid w:val="002D37BE"/>
    <w:rsid w:val="002D4584"/>
    <w:rsid w:val="002D5CEF"/>
    <w:rsid w:val="002E4572"/>
    <w:rsid w:val="002F0C90"/>
    <w:rsid w:val="002F1DAB"/>
    <w:rsid w:val="002F4ECB"/>
    <w:rsid w:val="002F61DA"/>
    <w:rsid w:val="002F6DCD"/>
    <w:rsid w:val="003006E2"/>
    <w:rsid w:val="0030166A"/>
    <w:rsid w:val="0030223C"/>
    <w:rsid w:val="00303C4F"/>
    <w:rsid w:val="00303D32"/>
    <w:rsid w:val="00312C2B"/>
    <w:rsid w:val="00315B2C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66740"/>
    <w:rsid w:val="00367118"/>
    <w:rsid w:val="0037360C"/>
    <w:rsid w:val="00377324"/>
    <w:rsid w:val="003819DE"/>
    <w:rsid w:val="003824E8"/>
    <w:rsid w:val="00382A57"/>
    <w:rsid w:val="00383AF5"/>
    <w:rsid w:val="003878F4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E7902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4F4D"/>
    <w:rsid w:val="00467D3E"/>
    <w:rsid w:val="0047576B"/>
    <w:rsid w:val="00480025"/>
    <w:rsid w:val="00481695"/>
    <w:rsid w:val="00481D90"/>
    <w:rsid w:val="004826EE"/>
    <w:rsid w:val="0048445B"/>
    <w:rsid w:val="004942AA"/>
    <w:rsid w:val="0049787C"/>
    <w:rsid w:val="004A1A0A"/>
    <w:rsid w:val="004A2380"/>
    <w:rsid w:val="004A3EA4"/>
    <w:rsid w:val="004A68B7"/>
    <w:rsid w:val="004C0670"/>
    <w:rsid w:val="004C753C"/>
    <w:rsid w:val="004C7EEA"/>
    <w:rsid w:val="004D3990"/>
    <w:rsid w:val="004D3F08"/>
    <w:rsid w:val="004D3F84"/>
    <w:rsid w:val="004D799B"/>
    <w:rsid w:val="004E052D"/>
    <w:rsid w:val="004E2058"/>
    <w:rsid w:val="004E4612"/>
    <w:rsid w:val="00515762"/>
    <w:rsid w:val="00516701"/>
    <w:rsid w:val="00523893"/>
    <w:rsid w:val="00523C4E"/>
    <w:rsid w:val="0052726C"/>
    <w:rsid w:val="00527C7D"/>
    <w:rsid w:val="005310DB"/>
    <w:rsid w:val="0053156D"/>
    <w:rsid w:val="005412A1"/>
    <w:rsid w:val="00543C47"/>
    <w:rsid w:val="00544935"/>
    <w:rsid w:val="00551485"/>
    <w:rsid w:val="00561D59"/>
    <w:rsid w:val="00562FFC"/>
    <w:rsid w:val="00567CA1"/>
    <w:rsid w:val="00597D7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44E7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54BC3"/>
    <w:rsid w:val="00660161"/>
    <w:rsid w:val="00663177"/>
    <w:rsid w:val="006646FF"/>
    <w:rsid w:val="00667DD3"/>
    <w:rsid w:val="00673D42"/>
    <w:rsid w:val="0067417B"/>
    <w:rsid w:val="006827BB"/>
    <w:rsid w:val="006831AE"/>
    <w:rsid w:val="0068439D"/>
    <w:rsid w:val="00684B0F"/>
    <w:rsid w:val="00684CC6"/>
    <w:rsid w:val="006865F0"/>
    <w:rsid w:val="00693748"/>
    <w:rsid w:val="006A1152"/>
    <w:rsid w:val="006A2724"/>
    <w:rsid w:val="006A5925"/>
    <w:rsid w:val="006B5E59"/>
    <w:rsid w:val="006B7706"/>
    <w:rsid w:val="006D0184"/>
    <w:rsid w:val="006D1256"/>
    <w:rsid w:val="006D671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F2D"/>
    <w:rsid w:val="00756B5B"/>
    <w:rsid w:val="00757796"/>
    <w:rsid w:val="0076072F"/>
    <w:rsid w:val="00763FFC"/>
    <w:rsid w:val="00773396"/>
    <w:rsid w:val="00773B66"/>
    <w:rsid w:val="007749DF"/>
    <w:rsid w:val="00775EC6"/>
    <w:rsid w:val="0078566B"/>
    <w:rsid w:val="0079069C"/>
    <w:rsid w:val="00794DCD"/>
    <w:rsid w:val="007A3E15"/>
    <w:rsid w:val="007A7285"/>
    <w:rsid w:val="007A7458"/>
    <w:rsid w:val="007A7ECB"/>
    <w:rsid w:val="007B05F7"/>
    <w:rsid w:val="007C5A4B"/>
    <w:rsid w:val="007D44F8"/>
    <w:rsid w:val="007E274B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27045"/>
    <w:rsid w:val="008377F4"/>
    <w:rsid w:val="00837F83"/>
    <w:rsid w:val="00842BEB"/>
    <w:rsid w:val="00845F84"/>
    <w:rsid w:val="008478CC"/>
    <w:rsid w:val="00856039"/>
    <w:rsid w:val="00862424"/>
    <w:rsid w:val="0088277C"/>
    <w:rsid w:val="00887E90"/>
    <w:rsid w:val="0089164A"/>
    <w:rsid w:val="0089630F"/>
    <w:rsid w:val="008A0FFE"/>
    <w:rsid w:val="008B01E5"/>
    <w:rsid w:val="008B1A6D"/>
    <w:rsid w:val="008B41CF"/>
    <w:rsid w:val="008B68EA"/>
    <w:rsid w:val="008C0072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2085"/>
    <w:rsid w:val="009740B2"/>
    <w:rsid w:val="00975CCB"/>
    <w:rsid w:val="00981798"/>
    <w:rsid w:val="009839A3"/>
    <w:rsid w:val="00985A1A"/>
    <w:rsid w:val="00995C44"/>
    <w:rsid w:val="00996758"/>
    <w:rsid w:val="009A3693"/>
    <w:rsid w:val="009A663D"/>
    <w:rsid w:val="009B032F"/>
    <w:rsid w:val="009B60F6"/>
    <w:rsid w:val="009C6DBA"/>
    <w:rsid w:val="009D4B9B"/>
    <w:rsid w:val="009D59DC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1BB6"/>
    <w:rsid w:val="00A84407"/>
    <w:rsid w:val="00A91738"/>
    <w:rsid w:val="00A918E5"/>
    <w:rsid w:val="00AB5946"/>
    <w:rsid w:val="00AC0FF4"/>
    <w:rsid w:val="00AC4843"/>
    <w:rsid w:val="00AC49F3"/>
    <w:rsid w:val="00AC7986"/>
    <w:rsid w:val="00AD0798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20A0"/>
    <w:rsid w:val="00B47FA0"/>
    <w:rsid w:val="00B52351"/>
    <w:rsid w:val="00B5278C"/>
    <w:rsid w:val="00B5349B"/>
    <w:rsid w:val="00B70715"/>
    <w:rsid w:val="00B945A9"/>
    <w:rsid w:val="00B973A2"/>
    <w:rsid w:val="00BA3BF5"/>
    <w:rsid w:val="00BC10D1"/>
    <w:rsid w:val="00BC59F2"/>
    <w:rsid w:val="00BC5AD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1B57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5249"/>
    <w:rsid w:val="00EA607D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322"/>
    <w:rsid w:val="00F64AD8"/>
    <w:rsid w:val="00F80C54"/>
    <w:rsid w:val="00F81F63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FB52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60</cp:revision>
  <cp:lastPrinted>2020-05-29T05:27:00Z</cp:lastPrinted>
  <dcterms:created xsi:type="dcterms:W3CDTF">2016-06-03T08:08:00Z</dcterms:created>
  <dcterms:modified xsi:type="dcterms:W3CDTF">2020-06-19T08:29:00Z</dcterms:modified>
</cp:coreProperties>
</file>